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C0" w:rsidRDefault="001C39C0" w:rsidP="001C39C0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3E3C5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CEED3" wp14:editId="2242ED25">
                <wp:simplePos x="0" y="0"/>
                <wp:positionH relativeFrom="column">
                  <wp:posOffset>-899795</wp:posOffset>
                </wp:positionH>
                <wp:positionV relativeFrom="paragraph">
                  <wp:posOffset>-562610</wp:posOffset>
                </wp:positionV>
                <wp:extent cx="7610475" cy="764540"/>
                <wp:effectExtent l="0" t="0" r="9525" b="0"/>
                <wp:wrapNone/>
                <wp:docPr id="1" name="Cím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610475" cy="76454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34000"/>
                          </a:srgbClr>
                        </a:solidFill>
                      </wps:spPr>
                      <wps:txbx>
                        <w:txbxContent>
                          <w:p w:rsidR="001C39C0" w:rsidRPr="00C46400" w:rsidRDefault="001C39C0" w:rsidP="001C39C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sz w:val="40"/>
                                <w:szCs w:val="40"/>
                                <w:lang w:eastAsia="hu-HU"/>
                              </w:rPr>
                            </w:pPr>
                            <w:r w:rsidRPr="00C46400">
                              <w:rPr>
                                <w:rFonts w:asciiTheme="majorHAnsi" w:eastAsia="Times New Roman" w:hAnsiTheme="majorHAnsi" w:cs="Times New Roman"/>
                                <w:b/>
                                <w:sz w:val="40"/>
                                <w:szCs w:val="40"/>
                                <w:lang w:eastAsia="hu-HU"/>
                              </w:rPr>
                              <w:t>Nagy összegű finanszírozás („200ME Finanszírozás”)</w:t>
                            </w:r>
                          </w:p>
                          <w:p w:rsidR="001C39C0" w:rsidRPr="003E3C5C" w:rsidRDefault="001C39C0" w:rsidP="001C39C0">
                            <w:pPr>
                              <w:pStyle w:val="NormlWeb"/>
                              <w:spacing w:before="0" w:beforeAutospacing="0" w:after="0" w:afterAutospacing="0"/>
                              <w:ind w:left="288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ím 1" o:spid="_x0000_s1026" style="position:absolute;left:0;text-align:left;margin-left:-70.85pt;margin-top:-44.3pt;width:599.25pt;height:6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" fillcolor="#92d050" stroked="f">
                <v:fill opacity="22359f"/>
                <v:path arrowok="t"/>
                <o:lock v:ext="edit" grouping="t"/>
                <v:textbox>
                  <w:txbxContent>
                    <w:p w:rsidR="001C39C0" w:rsidRPr="00C46400" w:rsidRDefault="001C39C0" w:rsidP="001C39C0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b/>
                          <w:sz w:val="40"/>
                          <w:szCs w:val="40"/>
                          <w:lang w:eastAsia="hu-HU"/>
                        </w:rPr>
                      </w:pPr>
                      <w:r w:rsidRPr="00C46400">
                        <w:rPr>
                          <w:rFonts w:asciiTheme="majorHAnsi" w:eastAsia="Times New Roman" w:hAnsiTheme="majorHAnsi" w:cs="Times New Roman"/>
                          <w:b/>
                          <w:sz w:val="40"/>
                          <w:szCs w:val="40"/>
                          <w:lang w:eastAsia="hu-HU"/>
                        </w:rPr>
                        <w:t>Nagy összegű finanszírozás („200ME Finanszírozás”)</w:t>
                      </w:r>
                    </w:p>
                    <w:p w:rsidR="001C39C0" w:rsidRPr="003E3C5C" w:rsidRDefault="001C39C0" w:rsidP="001C39C0">
                      <w:pPr>
                        <w:pStyle w:val="NormlWeb"/>
                        <w:spacing w:before="0" w:beforeAutospacing="0" w:after="0" w:afterAutospacing="0"/>
                        <w:ind w:left="288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C39C0" w:rsidRDefault="001C39C0" w:rsidP="001C39C0">
      <w:pPr>
        <w:pStyle w:val="Listaszerbekezds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:rsidR="001C39C0" w:rsidRDefault="001C39C0" w:rsidP="001C39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u-HU"/>
        </w:rPr>
        <w:t>igényelhető összeg: 10 - 400 millió EUR (az első néhány cégnél az alsó határ lehet kevesebb, ez a lehetőség hamarosan megszűnik)</w:t>
      </w:r>
    </w:p>
    <w:p w:rsidR="001C39C0" w:rsidRDefault="001C39C0" w:rsidP="001C39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u-HU"/>
        </w:rPr>
        <w:t>finanszírozás formája: hitel</w:t>
      </w:r>
    </w:p>
    <w:p w:rsidR="001C39C0" w:rsidRDefault="001C39C0" w:rsidP="001C39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u-HU"/>
        </w:rPr>
        <w:t>futamidő: 10 év</w:t>
      </w:r>
    </w:p>
    <w:p w:rsidR="001C39C0" w:rsidRDefault="001C39C0" w:rsidP="001C39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u-HU"/>
        </w:rPr>
        <w:t>kamat: 200 millió EUR összegig 1,5%/év, 200 millió EUR fölött 0,5%/év</w:t>
      </w:r>
    </w:p>
    <w:p w:rsidR="001C39C0" w:rsidRDefault="001C39C0" w:rsidP="001C39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u-HU"/>
        </w:rPr>
        <w:t>10-20% készpénzes önerő szükséges ​ (a mérték megállapodás kérdése​ és az adott üzleti tevékenység biztonságától függ​)</w:t>
      </w:r>
    </w:p>
    <w:p w:rsidR="001C39C0" w:rsidRDefault="001C39C0" w:rsidP="001C39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u-HU"/>
        </w:rPr>
        <w:t>plusz jutalék​</w:t>
      </w:r>
    </w:p>
    <w:p w:rsidR="001C39C0" w:rsidRDefault="001C39C0" w:rsidP="001C39C0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a finanszírozás 3 hónapon belül megvalósulhat</w:t>
      </w:r>
    </w:p>
    <w:p w:rsidR="001C39C0" w:rsidRDefault="001C39C0" w:rsidP="001C39C0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megbízható készpénztermelő projekt szükséges</w:t>
      </w:r>
    </w:p>
    <w:p w:rsidR="001C39C0" w:rsidRPr="001C39C0" w:rsidRDefault="001C39C0" w:rsidP="001C39C0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 w:rsidRPr="001C39C0"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​fedezet: ingatlan vagy sok éve megbízhatóan és nyereségesen működő vállalkozás​</w:t>
      </w:r>
      <w:r w:rsidRPr="001C39C0"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 xml:space="preserve">. </w:t>
      </w: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F</w:t>
      </w:r>
      <w:r w:rsidRPr="001C39C0"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elvehető meglévő hitelek kiváltására is</w:t>
      </w:r>
    </w:p>
    <w:p w:rsidR="001C39C0" w:rsidRDefault="001C39C0" w:rsidP="001C39C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</w:p>
    <w:p w:rsidR="001C39C0" w:rsidRPr="00C46400" w:rsidRDefault="001C39C0" w:rsidP="001C39C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22222"/>
          <w:sz w:val="24"/>
          <w:szCs w:val="24"/>
          <w:lang w:eastAsia="hu-HU"/>
        </w:rPr>
      </w:pPr>
      <w:r w:rsidRPr="00C46400">
        <w:rPr>
          <w:rFonts w:asciiTheme="majorHAnsi" w:eastAsia="Times New Roman" w:hAnsiTheme="majorHAnsi" w:cs="Arial"/>
          <w:b/>
          <w:color w:val="222222"/>
          <w:sz w:val="24"/>
          <w:szCs w:val="24"/>
          <w:lang w:eastAsia="hu-HU"/>
        </w:rPr>
        <w:t>​Tipikus finanszírozható üzleti tevékenységek:</w:t>
      </w:r>
    </w:p>
    <w:p w:rsidR="001C39C0" w:rsidRDefault="001C39C0" w:rsidP="001C39C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proofErr w:type="gramStart"/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a</w:t>
      </w:r>
      <w:proofErr w:type="gramEnd"/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) ingatlan vásárlása vagy kibővítése, felújítása, amelyben folyamatos bevétel termelődik (irodaház, pláza, szálloda, lakópark, állami vagy céges bérlemény) 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b) stabilan nyereséges cég tevékenységének bővítése (új épületek, eszközök építése, beszerzése), aminek az eredményeképpen a cég nyeresége növekedni fog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c) cégek meglévő hiteleinek kiváltása ezen finanszírozásra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d) általában olyan cégek tervei, amelyekre a cégnek van már induló összege, de az nem elégséges az egész projekt megvalósításához</w:t>
      </w:r>
    </w:p>
    <w:p w:rsidR="001C39C0" w:rsidRDefault="001C39C0" w:rsidP="001C39C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</w:p>
    <w:p w:rsidR="001C39C0" w:rsidRDefault="001C39C0" w:rsidP="001C39C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 w:rsidRPr="00C46400">
        <w:rPr>
          <w:rFonts w:asciiTheme="majorHAnsi" w:eastAsia="Times New Roman" w:hAnsiTheme="majorHAnsi" w:cs="Arial"/>
          <w:b/>
          <w:color w:val="222222"/>
          <w:sz w:val="24"/>
          <w:szCs w:val="24"/>
          <w:lang w:eastAsia="hu-HU"/>
        </w:rPr>
        <w:t>Nem finanszírozhatók</w:t>
      </w: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 xml:space="preserve"> a kezdő vállalkozások, új projektek, önerő nélküli cégek</w:t>
      </w:r>
    </w:p>
    <w:p w:rsidR="001C39C0" w:rsidRDefault="001C39C0" w:rsidP="001C39C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</w:p>
    <w:p w:rsidR="001C39C0" w:rsidRPr="00C46400" w:rsidRDefault="001C39C0" w:rsidP="001C39C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22222"/>
          <w:sz w:val="24"/>
          <w:szCs w:val="24"/>
          <w:lang w:eastAsia="hu-HU"/>
        </w:rPr>
      </w:pPr>
      <w:r w:rsidRPr="00C46400">
        <w:rPr>
          <w:rFonts w:asciiTheme="majorHAnsi" w:eastAsia="Times New Roman" w:hAnsiTheme="majorHAnsi" w:cs="Arial"/>
          <w:b/>
          <w:color w:val="222222"/>
          <w:sz w:val="24"/>
          <w:szCs w:val="24"/>
          <w:lang w:eastAsia="hu-HU"/>
        </w:rPr>
        <w:t>Ne jelentkezzenek az alábbi cégek:</w:t>
      </w:r>
    </w:p>
    <w:p w:rsidR="001C39C0" w:rsidRDefault="001C39C0" w:rsidP="001C39C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- nincs ingatlanfedezet vagy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- ha ingatlanfedezet nélkül cégként jelentkezik, nincs nyeresége vagy veszteséges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- nem képes saját forrásból rövid határidőn belül (néhány hét) biztosítani az önerőt banki átutalás formájában (önerőként bankhitel nem fogadható el)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- nincs folyamatos készpénztermelő képessége, amiből képes visszafizetni a hitelt</w:t>
      </w:r>
    </w:p>
    <w:p w:rsidR="001C39C0" w:rsidRDefault="001C39C0" w:rsidP="001C39C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</w:p>
    <w:p w:rsidR="001C39C0" w:rsidRPr="00C46400" w:rsidRDefault="001C39C0" w:rsidP="001C39C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22222"/>
          <w:sz w:val="24"/>
          <w:szCs w:val="24"/>
          <w:lang w:eastAsia="hu-HU"/>
        </w:rPr>
      </w:pPr>
      <w:r w:rsidRPr="00C46400">
        <w:rPr>
          <w:rFonts w:asciiTheme="majorHAnsi" w:eastAsia="Times New Roman" w:hAnsiTheme="majorHAnsi" w:cs="Arial"/>
          <w:b/>
          <w:color w:val="222222"/>
          <w:sz w:val="24"/>
          <w:szCs w:val="24"/>
          <w:lang w:eastAsia="hu-HU"/>
        </w:rPr>
        <w:t>A lebonyolítás sorrendje:</w:t>
      </w:r>
    </w:p>
    <w:p w:rsidR="001C39C0" w:rsidRDefault="001C39C0" w:rsidP="001C39C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1. a külön megküldendő adatlap kitöltése és eljuttatása a </w:t>
      </w:r>
      <w:hyperlink r:id="rId6" w:history="1">
        <w:r w:rsidR="00C64C81" w:rsidRPr="00561D6B">
          <w:rPr>
            <w:rStyle w:val="Hiperhivatkozs"/>
            <w:rFonts w:asciiTheme="majorHAnsi" w:eastAsia="Times New Roman" w:hAnsiTheme="majorHAnsi" w:cs="Arial"/>
            <w:sz w:val="24"/>
            <w:szCs w:val="24"/>
            <w:lang w:eastAsia="hu-HU"/>
          </w:rPr>
          <w:t>forrasmenedzseles@gmail.com</w:t>
        </w:r>
      </w:hyperlink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 e-mail címre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 xml:space="preserve">2. az adatlapon szereplő személyek hozzájárulása személyes adataik kezeléséhez az </w:t>
      </w: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e</w:t>
      </w: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-mail címükre megküldendő kérdőíven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 xml:space="preserve">3.​ </w:t>
      </w:r>
      <w:r w:rsidR="00C64C81"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Takács László</w:t>
      </w:r>
      <w:bookmarkStart w:id="0" w:name="_GoBack"/>
      <w:bookmarkEnd w:id="0"/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 xml:space="preserve"> személyes találkozója a cég vezetőivel a projektről, az önerő biztosításának biztonságáról, a visszafizetési képességről​, a jutalékszintről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​Ezen találkozó pozitív kimenetele esetén:​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4. ​találkozó a finanszírozó magyarországi képviselőjével​ a finanszírozás részleteiről 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5. megállapodás a</w:t>
      </w: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 xml:space="preserve"> </w:t>
      </w: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jutalékokról</w:t>
      </w: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 xml:space="preserve"> </w:t>
      </w: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és kifizetése garanciáiról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​6. letéti szerződés megkötése 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 xml:space="preserve">7. ​az önerő összegének átutalása a letétkezelő számára (a letétkezelő = ESCROW </w:t>
      </w:r>
      <w:proofErr w:type="spellStart"/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agent</w:t>
      </w:r>
      <w:proofErr w:type="spellEnd"/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, olyan magyar vagy külföldi ügynök, ügyvéd vagy közjegyző, amely mindkét fél számára elfogadható)​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8. ​finanszírozási szerződés megkötése​</w:t>
      </w:r>
    </w:p>
    <w:p w:rsidR="001C39C0" w:rsidRDefault="001C39C0" w:rsidP="001C39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9. ​ a projektösszeg 100%-ának finanszíroz​ó ​általi utalása és jelzálog bejegyzése​</w:t>
      </w:r>
    </w:p>
    <w:p w:rsidR="003D1E18" w:rsidRDefault="001C39C0" w:rsidP="001C39C0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D059F" wp14:editId="5B3D9261">
                <wp:simplePos x="0" y="0"/>
                <wp:positionH relativeFrom="column">
                  <wp:posOffset>-900430</wp:posOffset>
                </wp:positionH>
                <wp:positionV relativeFrom="paragraph">
                  <wp:posOffset>227330</wp:posOffset>
                </wp:positionV>
                <wp:extent cx="7562850" cy="764540"/>
                <wp:effectExtent l="0" t="0" r="0" b="0"/>
                <wp:wrapNone/>
                <wp:docPr id="2" name="Cím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562850" cy="76454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48000"/>
                          </a:srgbClr>
                        </a:solidFill>
                      </wps:spPr>
                      <wps:txbx>
                        <w:txbxContent>
                          <w:p w:rsidR="001C39C0" w:rsidRPr="007A3FB2" w:rsidRDefault="001C39C0" w:rsidP="001C39C0">
                            <w:pPr>
                              <w:pStyle w:val="NormlWeb"/>
                              <w:spacing w:before="0" w:beforeAutospacing="0" w:after="0" w:afterAutospacing="0"/>
                              <w:ind w:left="288"/>
                              <w:rPr>
                                <w:rFonts w:asciiTheme="majorHAnsi" w:eastAsiaTheme="majorEastAsia" w:hAnsi="Cambria" w:cs="Tunga"/>
                                <w:bCs/>
                                <w:kern w:val="24"/>
                                <w:position w:val="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A3FB2">
                              <w:rPr>
                                <w:rFonts w:asciiTheme="majorHAnsi" w:eastAsiaTheme="majorEastAsia" w:hAnsi="Cambria" w:cs="Tunga"/>
                                <w:b/>
                                <w:bCs/>
                                <w:kern w:val="24"/>
                                <w:position w:val="1"/>
                              </w:rPr>
                              <w:t>Biosynergy</w:t>
                            </w:r>
                            <w:proofErr w:type="spellEnd"/>
                            <w:r w:rsidRPr="007A3FB2">
                              <w:rPr>
                                <w:rFonts w:asciiTheme="majorHAnsi" w:eastAsiaTheme="majorEastAsia" w:hAnsi="Cambria" w:cs="Tunga"/>
                                <w:b/>
                                <w:bCs/>
                                <w:kern w:val="2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="Cambria" w:cs="Tunga"/>
                                <w:b/>
                                <w:bCs/>
                                <w:kern w:val="24"/>
                                <w:position w:val="1"/>
                              </w:rPr>
                              <w:t xml:space="preserve">Kft.                                                                                                            </w:t>
                            </w:r>
                            <w:hyperlink r:id="rId7" w:history="1">
                              <w:r w:rsidRPr="007A3FB2">
                                <w:rPr>
                                  <w:rStyle w:val="Hiperhivatkozs"/>
                                  <w:rFonts w:asciiTheme="majorHAnsi" w:eastAsiaTheme="majorEastAsia" w:hAnsi="Cambria" w:cs="Tunga"/>
                                  <w:bCs/>
                                  <w:kern w:val="24"/>
                                  <w:position w:val="1"/>
                                  <w:sz w:val="22"/>
                                  <w:szCs w:val="22"/>
                                </w:rPr>
                                <w:t>www.forrasmenedzseles.webnode.hu</w:t>
                              </w:r>
                            </w:hyperlink>
                          </w:p>
                          <w:p w:rsidR="001C39C0" w:rsidRDefault="001C39C0" w:rsidP="001C39C0">
                            <w:pPr>
                              <w:pStyle w:val="NormlWeb"/>
                              <w:spacing w:before="0" w:beforeAutospacing="0" w:after="0" w:afterAutospacing="0"/>
                              <w:ind w:left="288"/>
                              <w:rPr>
                                <w:rFonts w:asciiTheme="majorHAnsi" w:eastAsiaTheme="majorEastAsia" w:hAnsi="Cambria" w:cs="Tunga"/>
                                <w:b/>
                                <w:bCs/>
                                <w:kern w:val="24"/>
                                <w:position w:val="1"/>
                              </w:rPr>
                            </w:pPr>
                            <w:r>
                              <w:rPr>
                                <w:rFonts w:asciiTheme="majorHAnsi" w:eastAsiaTheme="majorEastAsia" w:hAnsi="Cambria" w:cs="Tunga"/>
                                <w:b/>
                                <w:bCs/>
                                <w:kern w:val="24"/>
                                <w:position w:val="1"/>
                              </w:rPr>
                              <w:t xml:space="preserve">06 70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="Cambria" w:cs="Tunga"/>
                                <w:b/>
                                <w:bCs/>
                                <w:kern w:val="24"/>
                                <w:position w:val="1"/>
                              </w:rPr>
                              <w:t>70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="Cambria" w:cs="Tunga"/>
                                <w:b/>
                                <w:bCs/>
                                <w:kern w:val="24"/>
                                <w:position w:val="1"/>
                              </w:rPr>
                              <w:t xml:space="preserve"> 14 759                                                                                                              </w:t>
                            </w:r>
                            <w:hyperlink r:id="rId8" w:history="1">
                              <w:r w:rsidRPr="007A3FB2">
                                <w:rPr>
                                  <w:rStyle w:val="Hiperhivatkozs"/>
                                  <w:rFonts w:asciiTheme="majorHAnsi" w:eastAsiaTheme="majorEastAsia" w:hAnsi="Cambria" w:cs="Tunga"/>
                                  <w:bCs/>
                                  <w:kern w:val="24"/>
                                  <w:position w:val="1"/>
                                </w:rPr>
                                <w:t>forrasmenedzseles</w:t>
                              </w:r>
                              <w:r w:rsidRPr="007A3FB2">
                                <w:rPr>
                                  <w:rStyle w:val="Hiperhivatkozs"/>
                                  <w:rFonts w:asciiTheme="majorHAnsi" w:eastAsiaTheme="majorEastAsia" w:hAnsiTheme="majorHAnsi" w:cs="Tunga"/>
                                  <w:bCs/>
                                  <w:kern w:val="24"/>
                                  <w:position w:val="1"/>
                                </w:rPr>
                                <w:t>@</w:t>
                              </w:r>
                              <w:r w:rsidRPr="007A3FB2">
                                <w:rPr>
                                  <w:rStyle w:val="Hiperhivatkozs"/>
                                  <w:rFonts w:asciiTheme="majorHAnsi" w:eastAsiaTheme="majorEastAsia" w:hAnsi="Cambria" w:cs="Tunga"/>
                                  <w:bCs/>
                                  <w:kern w:val="24"/>
                                  <w:position w:val="1"/>
                                </w:rPr>
                                <w:t>gmail.com</w:t>
                              </w:r>
                            </w:hyperlink>
                          </w:p>
                          <w:p w:rsidR="001C39C0" w:rsidRDefault="001C39C0" w:rsidP="001C39C0">
                            <w:pPr>
                              <w:pStyle w:val="NormlWeb"/>
                              <w:spacing w:before="0" w:beforeAutospacing="0" w:after="0" w:afterAutospacing="0"/>
                              <w:ind w:left="288"/>
                              <w:jc w:val="center"/>
                              <w:rPr>
                                <w:rFonts w:asciiTheme="majorHAnsi" w:eastAsiaTheme="majorEastAsia" w:hAnsi="Cambria" w:cs="Tunga"/>
                                <w:b/>
                                <w:bCs/>
                                <w:kern w:val="24"/>
                                <w:position w:val="1"/>
                              </w:rPr>
                            </w:pPr>
                          </w:p>
                          <w:p w:rsidR="001C39C0" w:rsidRDefault="001C39C0" w:rsidP="001C39C0">
                            <w:pPr>
                              <w:pStyle w:val="NormlWeb"/>
                              <w:spacing w:before="0" w:beforeAutospacing="0" w:after="0" w:afterAutospacing="0"/>
                              <w:ind w:left="288"/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70.9pt;margin-top:17.9pt;width:595.5pt;height:6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" fillcolor="#92d050" stroked="f">
                <v:fill opacity="31354f"/>
                <v:path arrowok="t"/>
                <o:lock v:ext="edit" grouping="t"/>
                <v:textbox>
                  <w:txbxContent>
                    <w:p w:rsidR="001C39C0" w:rsidRPr="007A3FB2" w:rsidRDefault="001C39C0" w:rsidP="001C39C0">
                      <w:pPr>
                        <w:pStyle w:val="NormlWeb"/>
                        <w:spacing w:before="0" w:beforeAutospacing="0" w:after="0" w:afterAutospacing="0"/>
                        <w:ind w:left="288"/>
                        <w:rPr>
                          <w:rFonts w:asciiTheme="majorHAnsi" w:eastAsiaTheme="majorEastAsia" w:hAnsi="Cambria" w:cs="Tunga"/>
                          <w:bCs/>
                          <w:kern w:val="24"/>
                          <w:position w:val="1"/>
                          <w:sz w:val="22"/>
                          <w:szCs w:val="22"/>
                        </w:rPr>
                      </w:pPr>
                      <w:proofErr w:type="spellStart"/>
                      <w:r w:rsidRPr="007A3FB2">
                        <w:rPr>
                          <w:rFonts w:asciiTheme="majorHAnsi" w:eastAsiaTheme="majorEastAsia" w:hAnsi="Cambria" w:cs="Tunga"/>
                          <w:b/>
                          <w:bCs/>
                          <w:kern w:val="24"/>
                          <w:position w:val="1"/>
                        </w:rPr>
                        <w:t>Biosynergy</w:t>
                      </w:r>
                      <w:proofErr w:type="spellEnd"/>
                      <w:r w:rsidRPr="007A3FB2">
                        <w:rPr>
                          <w:rFonts w:asciiTheme="majorHAnsi" w:eastAsiaTheme="majorEastAsia" w:hAnsi="Cambria" w:cs="Tunga"/>
                          <w:b/>
                          <w:bCs/>
                          <w:kern w:val="24"/>
                          <w:position w:val="1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="Cambria" w:cs="Tunga"/>
                          <w:b/>
                          <w:bCs/>
                          <w:kern w:val="24"/>
                          <w:position w:val="1"/>
                        </w:rPr>
                        <w:t xml:space="preserve">Kft.                                                                                                            </w:t>
                      </w:r>
                      <w:hyperlink r:id="rId9" w:history="1">
                        <w:r w:rsidRPr="007A3FB2">
                          <w:rPr>
                            <w:rStyle w:val="Hiperhivatkozs"/>
                            <w:rFonts w:asciiTheme="majorHAnsi" w:eastAsiaTheme="majorEastAsia" w:hAnsi="Cambria" w:cs="Tunga"/>
                            <w:bCs/>
                            <w:kern w:val="24"/>
                            <w:position w:val="1"/>
                            <w:sz w:val="22"/>
                            <w:szCs w:val="22"/>
                          </w:rPr>
                          <w:t>www.forrasmenedzseles.webnode.hu</w:t>
                        </w:r>
                      </w:hyperlink>
                    </w:p>
                    <w:p w:rsidR="001C39C0" w:rsidRDefault="001C39C0" w:rsidP="001C39C0">
                      <w:pPr>
                        <w:pStyle w:val="NormlWeb"/>
                        <w:spacing w:before="0" w:beforeAutospacing="0" w:after="0" w:afterAutospacing="0"/>
                        <w:ind w:left="288"/>
                        <w:rPr>
                          <w:rFonts w:asciiTheme="majorHAnsi" w:eastAsiaTheme="majorEastAsia" w:hAnsi="Cambria" w:cs="Tunga"/>
                          <w:b/>
                          <w:bCs/>
                          <w:kern w:val="24"/>
                          <w:position w:val="1"/>
                        </w:rPr>
                      </w:pPr>
                      <w:r>
                        <w:rPr>
                          <w:rFonts w:asciiTheme="majorHAnsi" w:eastAsiaTheme="majorEastAsia" w:hAnsi="Cambria" w:cs="Tunga"/>
                          <w:b/>
                          <w:bCs/>
                          <w:kern w:val="24"/>
                          <w:position w:val="1"/>
                        </w:rPr>
                        <w:t xml:space="preserve">06 70 </w:t>
                      </w:r>
                      <w:proofErr w:type="spellStart"/>
                      <w:r>
                        <w:rPr>
                          <w:rFonts w:asciiTheme="majorHAnsi" w:eastAsiaTheme="majorEastAsia" w:hAnsi="Cambria" w:cs="Tunga"/>
                          <w:b/>
                          <w:bCs/>
                          <w:kern w:val="24"/>
                          <w:position w:val="1"/>
                        </w:rPr>
                        <w:t>70</w:t>
                      </w:r>
                      <w:proofErr w:type="spellEnd"/>
                      <w:r>
                        <w:rPr>
                          <w:rFonts w:asciiTheme="majorHAnsi" w:eastAsiaTheme="majorEastAsia" w:hAnsi="Cambria" w:cs="Tunga"/>
                          <w:b/>
                          <w:bCs/>
                          <w:kern w:val="24"/>
                          <w:position w:val="1"/>
                        </w:rPr>
                        <w:t xml:space="preserve"> 14 759                                                                                                              </w:t>
                      </w:r>
                      <w:hyperlink r:id="rId10" w:history="1">
                        <w:r w:rsidRPr="007A3FB2">
                          <w:rPr>
                            <w:rStyle w:val="Hiperhivatkozs"/>
                            <w:rFonts w:asciiTheme="majorHAnsi" w:eastAsiaTheme="majorEastAsia" w:hAnsi="Cambria" w:cs="Tunga"/>
                            <w:bCs/>
                            <w:kern w:val="24"/>
                            <w:position w:val="1"/>
                          </w:rPr>
                          <w:t>forrasmenedzseles</w:t>
                        </w:r>
                        <w:r w:rsidRPr="007A3FB2">
                          <w:rPr>
                            <w:rStyle w:val="Hiperhivatkozs"/>
                            <w:rFonts w:asciiTheme="majorHAnsi" w:eastAsiaTheme="majorEastAsia" w:hAnsiTheme="majorHAnsi" w:cs="Tunga"/>
                            <w:bCs/>
                            <w:kern w:val="24"/>
                            <w:position w:val="1"/>
                          </w:rPr>
                          <w:t>@</w:t>
                        </w:r>
                        <w:r w:rsidRPr="007A3FB2">
                          <w:rPr>
                            <w:rStyle w:val="Hiperhivatkozs"/>
                            <w:rFonts w:asciiTheme="majorHAnsi" w:eastAsiaTheme="majorEastAsia" w:hAnsi="Cambria" w:cs="Tunga"/>
                            <w:bCs/>
                            <w:kern w:val="24"/>
                            <w:position w:val="1"/>
                          </w:rPr>
                          <w:t>gmail.com</w:t>
                        </w:r>
                      </w:hyperlink>
                    </w:p>
                    <w:p w:rsidR="001C39C0" w:rsidRDefault="001C39C0" w:rsidP="001C39C0">
                      <w:pPr>
                        <w:pStyle w:val="NormlWeb"/>
                        <w:spacing w:before="0" w:beforeAutospacing="0" w:after="0" w:afterAutospacing="0"/>
                        <w:ind w:left="288"/>
                        <w:jc w:val="center"/>
                        <w:rPr>
                          <w:rFonts w:asciiTheme="majorHAnsi" w:eastAsiaTheme="majorEastAsia" w:hAnsi="Cambria" w:cs="Tunga"/>
                          <w:b/>
                          <w:bCs/>
                          <w:kern w:val="24"/>
                          <w:position w:val="1"/>
                        </w:rPr>
                      </w:pPr>
                    </w:p>
                    <w:p w:rsidR="001C39C0" w:rsidRDefault="001C39C0" w:rsidP="001C39C0">
                      <w:pPr>
                        <w:pStyle w:val="NormlWeb"/>
                        <w:spacing w:before="0" w:beforeAutospacing="0" w:after="0" w:afterAutospacing="0"/>
                        <w:ind w:left="288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eastAsia="Times New Roman" w:hAnsiTheme="majorHAnsi" w:cs="Arial"/>
          <w:color w:val="222222"/>
          <w:sz w:val="24"/>
          <w:szCs w:val="24"/>
          <w:lang w:eastAsia="hu-HU"/>
        </w:rPr>
        <w:t>10. letétkezelőtől az önerő utalása finanszírozónak</w:t>
      </w:r>
    </w:p>
    <w:sectPr w:rsidR="003D1E18" w:rsidSect="001C39C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F19"/>
    <w:multiLevelType w:val="hybridMultilevel"/>
    <w:tmpl w:val="0200F6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85C82">
      <w:start w:val="10"/>
      <w:numFmt w:val="bullet"/>
      <w:lvlText w:val="-"/>
      <w:lvlJc w:val="left"/>
      <w:pPr>
        <w:ind w:left="2160" w:hanging="360"/>
      </w:pPr>
      <w:rPr>
        <w:rFonts w:ascii="Cambria" w:eastAsia="Times New Roman" w:hAnsi="Cambria" w:cs="Arial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516889"/>
    <w:multiLevelType w:val="hybridMultilevel"/>
    <w:tmpl w:val="384E99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C0"/>
    <w:rsid w:val="001C39C0"/>
    <w:rsid w:val="003D1E18"/>
    <w:rsid w:val="00C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39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C39C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C39C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C39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39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C39C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C39C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C39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rasmenedzsele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orrasmenedzseles.webnod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rasmenedzseles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rrasmenedzsel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rasmenedzseles.webnod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GP</cp:lastModifiedBy>
  <cp:revision>2</cp:revision>
  <dcterms:created xsi:type="dcterms:W3CDTF">2018-07-23T16:30:00Z</dcterms:created>
  <dcterms:modified xsi:type="dcterms:W3CDTF">2018-07-23T16:37:00Z</dcterms:modified>
</cp:coreProperties>
</file>